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597645" w14:textId="77777777" w:rsidR="002662AF" w:rsidRDefault="002662AF" w:rsidP="002662AF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</w:rPr>
      </w:pPr>
      <w:r w:rsidRPr="00B26017">
        <w:rPr>
          <w:rFonts w:ascii="Times New Roman" w:hAnsi="Times New Roman"/>
          <w:b/>
          <w:bCs/>
        </w:rPr>
        <w:t>Директор платит премии от случая к случаю. Это все еще допустимо?</w:t>
      </w:r>
    </w:p>
    <w:p w14:paraId="551B41B5" w14:textId="77777777" w:rsidR="002662AF" w:rsidRPr="00B26017" w:rsidRDefault="002662AF" w:rsidP="002662AF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</w:rPr>
      </w:pPr>
    </w:p>
    <w:p w14:paraId="11B49459" w14:textId="77777777" w:rsidR="002662AF" w:rsidRDefault="002662AF" w:rsidP="002662AF">
      <w:pPr>
        <w:spacing w:after="0" w:line="240" w:lineRule="auto"/>
        <w:ind w:firstLine="709"/>
        <w:jc w:val="both"/>
        <w:rPr>
          <w:rFonts w:ascii="Times New Roman" w:hAnsi="Times New Roman"/>
          <w:i/>
          <w:iCs/>
        </w:rPr>
      </w:pPr>
      <w:r w:rsidRPr="00B26017">
        <w:rPr>
          <w:rFonts w:ascii="Times New Roman" w:hAnsi="Times New Roman"/>
          <w:i/>
          <w:iCs/>
        </w:rPr>
        <w:t>В статье — комментарии юристов и налоговиков, а также образцы на случай, если в вашей компании есть нерегулярные премии за труд. Например, одна ваша коллега рассказала: премии ее компания платит от случая к случаю по приказам директора, в локальных актах про выплаты не сказано. Разберем, согласуется ли это с новым порядком премирования, который действует с 1 сентября.</w:t>
      </w:r>
    </w:p>
    <w:p w14:paraId="57ABDAC5" w14:textId="77777777" w:rsidR="002662AF" w:rsidRPr="00B26017" w:rsidRDefault="002662AF" w:rsidP="002662AF">
      <w:pPr>
        <w:spacing w:after="0" w:line="240" w:lineRule="auto"/>
        <w:ind w:firstLine="709"/>
        <w:jc w:val="both"/>
        <w:rPr>
          <w:rFonts w:ascii="Times New Roman" w:hAnsi="Times New Roman"/>
          <w:i/>
          <w:iCs/>
        </w:rPr>
      </w:pPr>
    </w:p>
    <w:p w14:paraId="76F4997F" w14:textId="77777777" w:rsidR="002662AF" w:rsidRPr="00B26017" w:rsidRDefault="002662AF" w:rsidP="002662AF">
      <w:pPr>
        <w:spacing w:after="0" w:line="240" w:lineRule="auto"/>
        <w:ind w:firstLine="709"/>
        <w:jc w:val="both"/>
        <w:rPr>
          <w:rFonts w:ascii="Times New Roman" w:hAnsi="Times New Roman"/>
          <w:b/>
          <w:bCs/>
        </w:rPr>
      </w:pPr>
      <w:r w:rsidRPr="00B26017">
        <w:rPr>
          <w:rFonts w:ascii="Times New Roman" w:hAnsi="Times New Roman"/>
          <w:b/>
          <w:bCs/>
        </w:rPr>
        <w:t>Коротко о том, что изменилось в премиях с 1 сентября</w:t>
      </w:r>
    </w:p>
    <w:p w14:paraId="20B1867D" w14:textId="77777777" w:rsidR="002662AF" w:rsidRPr="00B26017" w:rsidRDefault="002662AF" w:rsidP="002662A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B26017">
        <w:rPr>
          <w:rFonts w:ascii="Times New Roman" w:hAnsi="Times New Roman"/>
        </w:rPr>
        <w:t>Природа премий не поменялась — по-прежнему есть премии, которые входят в систему оплаты труда (</w:t>
      </w:r>
      <w:hyperlink r:id="rId4" w:anchor="XA00MBO2NM" w:tgtFrame="_blank" w:history="1">
        <w:r w:rsidRPr="00B26017">
          <w:rPr>
            <w:rStyle w:val="a3"/>
            <w:rFonts w:ascii="Times New Roman" w:hAnsi="Times New Roman"/>
          </w:rPr>
          <w:t>ст. 135 ТК</w:t>
        </w:r>
      </w:hyperlink>
      <w:r w:rsidRPr="00B26017">
        <w:rPr>
          <w:rFonts w:ascii="Times New Roman" w:hAnsi="Times New Roman"/>
        </w:rPr>
        <w:t>). Также существуют премии и прочие поощрения, которые в оплату труда не входят, хотя и связаны с трудом работников (</w:t>
      </w:r>
      <w:hyperlink r:id="rId5" w:anchor="ZA020B83ER" w:tgtFrame="_blank" w:history="1">
        <w:r w:rsidRPr="00B26017">
          <w:rPr>
            <w:rStyle w:val="a3"/>
            <w:rFonts w:ascii="Times New Roman" w:hAnsi="Times New Roman"/>
          </w:rPr>
          <w:t>ст. 191 ТК</w:t>
        </w:r>
      </w:hyperlink>
      <w:r w:rsidRPr="00B26017">
        <w:rPr>
          <w:rFonts w:ascii="Times New Roman" w:hAnsi="Times New Roman"/>
        </w:rPr>
        <w:t>). О том, где грань между выплатами по статьям </w:t>
      </w:r>
      <w:hyperlink r:id="rId6" w:anchor="XA00MBO2NM" w:tgtFrame="_blank" w:history="1">
        <w:r w:rsidRPr="00B26017">
          <w:rPr>
            <w:rStyle w:val="a3"/>
            <w:rFonts w:ascii="Times New Roman" w:hAnsi="Times New Roman"/>
          </w:rPr>
          <w:t>135</w:t>
        </w:r>
      </w:hyperlink>
      <w:r w:rsidRPr="00B26017">
        <w:rPr>
          <w:rFonts w:ascii="Times New Roman" w:hAnsi="Times New Roman"/>
        </w:rPr>
        <w:t> и </w:t>
      </w:r>
      <w:hyperlink r:id="rId7" w:anchor="ZA020B83ER" w:tgtFrame="_blank" w:history="1">
        <w:r w:rsidRPr="00B26017">
          <w:rPr>
            <w:rStyle w:val="a3"/>
            <w:rFonts w:ascii="Times New Roman" w:hAnsi="Times New Roman"/>
          </w:rPr>
          <w:t>191</w:t>
        </w:r>
      </w:hyperlink>
      <w:r w:rsidRPr="00B26017">
        <w:rPr>
          <w:rFonts w:ascii="Times New Roman" w:hAnsi="Times New Roman"/>
        </w:rPr>
        <w:t> ТК, смотрите ниже.</w:t>
      </w:r>
    </w:p>
    <w:p w14:paraId="55812BDF" w14:textId="77777777" w:rsidR="002662AF" w:rsidRPr="00B26017" w:rsidRDefault="002662AF" w:rsidP="002662A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B26017">
        <w:rPr>
          <w:rFonts w:ascii="Times New Roman" w:hAnsi="Times New Roman"/>
        </w:rPr>
        <w:t>Если говорить о конкретных поправках, то их две. Во-первых, с 1 сентября действует новая редакция </w:t>
      </w:r>
      <w:hyperlink r:id="rId8" w:anchor="XA00MBO2NM" w:tgtFrame="_blank" w:history="1">
        <w:r w:rsidRPr="00B26017">
          <w:rPr>
            <w:rStyle w:val="a3"/>
            <w:rFonts w:ascii="Times New Roman" w:hAnsi="Times New Roman"/>
          </w:rPr>
          <w:t>статьи 135</w:t>
        </w:r>
      </w:hyperlink>
      <w:r w:rsidRPr="00B26017">
        <w:rPr>
          <w:rFonts w:ascii="Times New Roman" w:hAnsi="Times New Roman"/>
        </w:rPr>
        <w:t> ТК. Теперь работодатели обязаны закреплять в локальном акте, положениях об оплате труда, о премировании или других документах четкие и понятные условия и показатели для выплаты премий. Нельзя оставить формулировку в духе «премия выплачивается по усмотрению руководителя». Нужны конкретные порядок, критерии и показатели, если речь идет о премиях, входящих в систему оплаты труда.</w:t>
      </w:r>
    </w:p>
    <w:p w14:paraId="577CE845" w14:textId="77777777" w:rsidR="002662AF" w:rsidRPr="00B26017" w:rsidRDefault="002662AF" w:rsidP="002662A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B26017">
        <w:rPr>
          <w:rFonts w:ascii="Times New Roman" w:hAnsi="Times New Roman"/>
        </w:rPr>
        <w:t>Во-вторых, с 1 сентября компании не вправе лишать сотрудников премий за целый год из-за одного проступка. Если премию снижают, то работник должен потерять не больше 20 процентов заработка за месяц. </w:t>
      </w:r>
      <w:hyperlink r:id="rId9" w:tgtFrame="_blank" w:history="1">
        <w:r w:rsidRPr="00B26017">
          <w:rPr>
            <w:rStyle w:val="a3"/>
            <w:rFonts w:ascii="Times New Roman" w:hAnsi="Times New Roman"/>
          </w:rPr>
          <w:t>Подробно об этом рассказывали здесь</w:t>
        </w:r>
      </w:hyperlink>
      <w:r w:rsidRPr="00B26017">
        <w:rPr>
          <w:rFonts w:ascii="Times New Roman" w:hAnsi="Times New Roman"/>
        </w:rPr>
        <w:t>.</w:t>
      </w:r>
    </w:p>
    <w:p w14:paraId="6DE78C3C" w14:textId="77777777" w:rsidR="002662AF" w:rsidRPr="00B26017" w:rsidRDefault="002662AF" w:rsidP="002662A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B26017">
        <w:rPr>
          <w:rFonts w:ascii="Times New Roman" w:hAnsi="Times New Roman"/>
        </w:rPr>
        <w:t>Нерегулярные премии, про которые спросила наша читательница, в систему оплаты труда явно не входят. Значит, компания выдает их по </w:t>
      </w:r>
      <w:hyperlink r:id="rId10" w:anchor="ZA020B83ER" w:tgtFrame="_blank" w:history="1">
        <w:r w:rsidRPr="00B26017">
          <w:rPr>
            <w:rStyle w:val="a3"/>
            <w:rFonts w:ascii="Times New Roman" w:hAnsi="Times New Roman"/>
          </w:rPr>
          <w:t>статье 191</w:t>
        </w:r>
      </w:hyperlink>
      <w:r w:rsidRPr="00B26017">
        <w:rPr>
          <w:rFonts w:ascii="Times New Roman" w:hAnsi="Times New Roman"/>
        </w:rPr>
        <w:t> ТК. Как это соотносится с новыми правилами премирования, которые действуют с 1 сентября, обсудим дальше.</w:t>
      </w:r>
    </w:p>
    <w:p w14:paraId="66FBCC96" w14:textId="77777777" w:rsidR="002662AF" w:rsidRPr="00B26017" w:rsidRDefault="002662AF" w:rsidP="002662A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B26017">
        <w:rPr>
          <w:rFonts w:ascii="Times New Roman" w:hAnsi="Times New Roman"/>
        </w:rPr>
        <w:t>На заметку</w:t>
      </w:r>
    </w:p>
    <w:p w14:paraId="64E47AD2" w14:textId="77777777" w:rsidR="002662AF" w:rsidRPr="00B26017" w:rsidRDefault="002662AF" w:rsidP="002662AF">
      <w:pPr>
        <w:spacing w:after="0" w:line="240" w:lineRule="auto"/>
        <w:ind w:firstLine="709"/>
        <w:jc w:val="both"/>
        <w:rPr>
          <w:rFonts w:ascii="Times New Roman" w:hAnsi="Times New Roman"/>
          <w:b/>
          <w:bCs/>
        </w:rPr>
      </w:pPr>
      <w:r w:rsidRPr="00B26017">
        <w:rPr>
          <w:rFonts w:ascii="Times New Roman" w:hAnsi="Times New Roman"/>
          <w:b/>
          <w:bCs/>
        </w:rPr>
        <w:t>Премии по статьям </w:t>
      </w:r>
      <w:hyperlink r:id="rId11" w:anchor="XA00MBO2NM" w:tgtFrame="_blank" w:history="1">
        <w:r w:rsidRPr="00B26017">
          <w:rPr>
            <w:rStyle w:val="a3"/>
            <w:rFonts w:ascii="Times New Roman" w:hAnsi="Times New Roman"/>
            <w:b/>
            <w:bCs/>
          </w:rPr>
          <w:t>135</w:t>
        </w:r>
      </w:hyperlink>
      <w:r w:rsidRPr="00B26017">
        <w:rPr>
          <w:rFonts w:ascii="Times New Roman" w:hAnsi="Times New Roman"/>
          <w:b/>
          <w:bCs/>
        </w:rPr>
        <w:t> и </w:t>
      </w:r>
      <w:hyperlink r:id="rId12" w:anchor="ZA020B83ER" w:tgtFrame="_blank" w:history="1">
        <w:r w:rsidRPr="00B26017">
          <w:rPr>
            <w:rStyle w:val="a3"/>
            <w:rFonts w:ascii="Times New Roman" w:hAnsi="Times New Roman"/>
            <w:b/>
            <w:bCs/>
          </w:rPr>
          <w:t>191</w:t>
        </w:r>
      </w:hyperlink>
      <w:r w:rsidRPr="00B26017">
        <w:rPr>
          <w:rFonts w:ascii="Times New Roman" w:hAnsi="Times New Roman"/>
          <w:b/>
          <w:bCs/>
        </w:rPr>
        <w:t> ТК — где между ними грань</w:t>
      </w:r>
    </w:p>
    <w:p w14:paraId="2C48AC72" w14:textId="77777777" w:rsidR="002662AF" w:rsidRPr="00B26017" w:rsidRDefault="002662AF" w:rsidP="002662A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B26017">
        <w:rPr>
          <w:rFonts w:ascii="Times New Roman" w:hAnsi="Times New Roman"/>
          <w:b/>
          <w:bCs/>
        </w:rPr>
        <w:t>Премия как часть зарплаты — </w:t>
      </w:r>
      <w:hyperlink r:id="rId13" w:anchor="XA00MBO2NM" w:tgtFrame="_blank" w:history="1">
        <w:r w:rsidRPr="00B26017">
          <w:rPr>
            <w:rStyle w:val="a3"/>
            <w:rFonts w:ascii="Times New Roman" w:hAnsi="Times New Roman"/>
            <w:b/>
            <w:bCs/>
          </w:rPr>
          <w:t>статья 135</w:t>
        </w:r>
      </w:hyperlink>
      <w:r w:rsidRPr="00B26017">
        <w:rPr>
          <w:rFonts w:ascii="Times New Roman" w:hAnsi="Times New Roman"/>
          <w:b/>
          <w:bCs/>
        </w:rPr>
        <w:t> ТК. </w:t>
      </w:r>
      <w:r w:rsidRPr="00B26017">
        <w:rPr>
          <w:rFonts w:ascii="Times New Roman" w:hAnsi="Times New Roman"/>
        </w:rPr>
        <w:t>Например, «ежемесячная премия в размере 20 процентов от оклада при выполнении плана». Это часть оплаты труда, про такую премию обязательно подробно писать в локальном акте, закреплять условия и показатели, от которых зависит выплата.</w:t>
      </w:r>
    </w:p>
    <w:p w14:paraId="7B0C694D" w14:textId="77777777" w:rsidR="002662AF" w:rsidRPr="00B26017" w:rsidRDefault="002662AF" w:rsidP="002662A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B26017">
        <w:rPr>
          <w:rFonts w:ascii="Times New Roman" w:hAnsi="Times New Roman"/>
          <w:b/>
          <w:bCs/>
        </w:rPr>
        <w:t>Премия как поощрение — </w:t>
      </w:r>
      <w:hyperlink r:id="rId14" w:anchor="ZA020B83ER" w:tgtFrame="_blank" w:history="1">
        <w:r w:rsidRPr="00B26017">
          <w:rPr>
            <w:rStyle w:val="a3"/>
            <w:rFonts w:ascii="Times New Roman" w:hAnsi="Times New Roman"/>
            <w:b/>
            <w:bCs/>
          </w:rPr>
          <w:t>статья 191</w:t>
        </w:r>
      </w:hyperlink>
      <w:r w:rsidRPr="00B26017">
        <w:rPr>
          <w:rFonts w:ascii="Times New Roman" w:hAnsi="Times New Roman"/>
          <w:b/>
          <w:bCs/>
        </w:rPr>
        <w:t> ТК. </w:t>
      </w:r>
      <w:r w:rsidRPr="00B26017">
        <w:rPr>
          <w:rFonts w:ascii="Times New Roman" w:hAnsi="Times New Roman"/>
        </w:rPr>
        <w:t>Разовая к юбилею компании, за особый проект, за высокие трудовые достижения — называться выплата может как угодно. Выдавать такие премии — право, а не обязанность работодателя. Поэтому можно не детализировать правила премирования.</w:t>
      </w:r>
    </w:p>
    <w:p w14:paraId="2630B1A6" w14:textId="77777777" w:rsidR="002662AF" w:rsidRPr="00B26017" w:rsidRDefault="002662AF" w:rsidP="002662AF">
      <w:pPr>
        <w:spacing w:after="0" w:line="240" w:lineRule="auto"/>
        <w:ind w:firstLine="709"/>
        <w:jc w:val="both"/>
        <w:rPr>
          <w:rFonts w:ascii="Times New Roman" w:hAnsi="Times New Roman"/>
          <w:b/>
          <w:bCs/>
        </w:rPr>
      </w:pPr>
      <w:r w:rsidRPr="00B26017">
        <w:rPr>
          <w:rFonts w:ascii="Times New Roman" w:hAnsi="Times New Roman"/>
          <w:b/>
          <w:bCs/>
        </w:rPr>
        <w:t>Как теперь платить нерегулярные премии, чтобы это соответствовало </w:t>
      </w:r>
      <w:hyperlink r:id="rId15" w:tgtFrame="_blank" w:history="1">
        <w:r w:rsidRPr="00B26017">
          <w:rPr>
            <w:rStyle w:val="a3"/>
            <w:rFonts w:ascii="Times New Roman" w:hAnsi="Times New Roman"/>
            <w:b/>
            <w:bCs/>
          </w:rPr>
          <w:t>ТК</w:t>
        </w:r>
      </w:hyperlink>
    </w:p>
    <w:p w14:paraId="351BFEC1" w14:textId="77777777" w:rsidR="002662AF" w:rsidRPr="00B26017" w:rsidRDefault="002662AF" w:rsidP="002662A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B26017">
        <w:rPr>
          <w:rFonts w:ascii="Times New Roman" w:hAnsi="Times New Roman"/>
        </w:rPr>
        <w:t>Расписывать в локальном акте детальные условия премирования по </w:t>
      </w:r>
      <w:hyperlink r:id="rId16" w:anchor="ZA020B83ER" w:tgtFrame="_blank" w:history="1">
        <w:r w:rsidRPr="00B26017">
          <w:rPr>
            <w:rStyle w:val="a3"/>
            <w:rFonts w:ascii="Times New Roman" w:hAnsi="Times New Roman"/>
          </w:rPr>
          <w:t>статье 191</w:t>
        </w:r>
      </w:hyperlink>
      <w:r w:rsidRPr="00B26017">
        <w:rPr>
          <w:rFonts w:ascii="Times New Roman" w:hAnsi="Times New Roman"/>
        </w:rPr>
        <w:t> ТК компания не обязана. Да и в целом локального акта по премиям у компании может не быть — это нормально.</w:t>
      </w:r>
    </w:p>
    <w:p w14:paraId="0E08F69A" w14:textId="77777777" w:rsidR="002662AF" w:rsidRPr="00B26017" w:rsidRDefault="002662AF" w:rsidP="002662A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B26017">
        <w:rPr>
          <w:rFonts w:ascii="Times New Roman" w:hAnsi="Times New Roman"/>
        </w:rPr>
        <w:t>Допустимо и после 1 сентября оформлять премии только приказом. Правда, в трудинспекциях считают, что локальный акт — это лучше, чем просто приказ (см. комментарий ниже). Да и для учета расходов на премии он не помешает. Когда же премии регулярные и их выдают за производственные результаты, необходимо иметь, например, положение о премировании, в котором установили четкие условия выплаты премий.</w:t>
      </w:r>
    </w:p>
    <w:tbl>
      <w:tblPr>
        <w:tblW w:w="117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75"/>
      </w:tblGrid>
      <w:tr w:rsidR="002662AF" w:rsidRPr="00A811B3" w14:paraId="736A309C" w14:textId="77777777" w:rsidTr="00145004">
        <w:tc>
          <w:tcPr>
            <w:tcW w:w="0" w:type="auto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14:paraId="08E9262D" w14:textId="77777777" w:rsidR="002662AF" w:rsidRPr="00A811B3" w:rsidRDefault="002662AF" w:rsidP="0014500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lang w:eastAsia="ru-RU"/>
              </w:rPr>
              <w:lastRenderedPageBreak/>
              <w:drawing>
                <wp:inline distT="0" distB="0" distL="0" distR="0" wp14:anchorId="74C24E51" wp14:editId="5D4380AB">
                  <wp:extent cx="5943600" cy="2764155"/>
                  <wp:effectExtent l="19050" t="0" r="0" b="0"/>
                  <wp:docPr id="1" name="Рисунок 4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3600" cy="27641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BD7CD94" w14:textId="77777777" w:rsidR="002662AF" w:rsidRPr="00B26017" w:rsidRDefault="002662AF" w:rsidP="002662A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B26017">
        <w:rPr>
          <w:rFonts w:ascii="Times New Roman" w:hAnsi="Times New Roman"/>
        </w:rPr>
        <w:t>Если решите отразить в локальном акте правила для нерегулярных премий, ориентироваться можно на образец 1. Сравните с </w:t>
      </w:r>
      <w:hyperlink r:id="rId18" w:anchor="obr2" w:history="1">
        <w:r w:rsidRPr="00B26017">
          <w:rPr>
            <w:rStyle w:val="a3"/>
            <w:rFonts w:ascii="Times New Roman" w:hAnsi="Times New Roman"/>
          </w:rPr>
          <w:t>образцом 2</w:t>
        </w:r>
      </w:hyperlink>
      <w:r w:rsidRPr="00B26017">
        <w:rPr>
          <w:rFonts w:ascii="Times New Roman" w:hAnsi="Times New Roman"/>
        </w:rPr>
        <w:t>, где мы расписали правила для премий, которые входят в систему оплаты труда, — увидите, что во втором образце есть детализация. Ну и на случай, если хотите продолжить платить премии по </w:t>
      </w:r>
      <w:hyperlink r:id="rId19" w:anchor="ZA020B83ER" w:tgtFrame="_blank" w:history="1">
        <w:r w:rsidRPr="00B26017">
          <w:rPr>
            <w:rStyle w:val="a3"/>
            <w:rFonts w:ascii="Times New Roman" w:hAnsi="Times New Roman"/>
          </w:rPr>
          <w:t>статье 191</w:t>
        </w:r>
      </w:hyperlink>
      <w:r w:rsidRPr="00B26017">
        <w:rPr>
          <w:rFonts w:ascii="Times New Roman" w:hAnsi="Times New Roman"/>
        </w:rPr>
        <w:t> ТК только по приказу, с</w:t>
      </w:r>
      <w:hyperlink r:id="rId20" w:anchor="obr3" w:history="1">
        <w:r w:rsidRPr="00B26017">
          <w:rPr>
            <w:rStyle w:val="a3"/>
            <w:rFonts w:ascii="Times New Roman" w:hAnsi="Times New Roman"/>
          </w:rPr>
          <w:t>равните свой шаблон с нашим</w:t>
        </w:r>
      </w:hyperlink>
      <w:r w:rsidRPr="00B26017">
        <w:rPr>
          <w:rFonts w:ascii="Times New Roman" w:hAnsi="Times New Roman"/>
        </w:rPr>
        <w:t> — в нем есть формулировки, которые одобряют трудовые инспекторы.</w:t>
      </w:r>
    </w:p>
    <w:p w14:paraId="30F678D0" w14:textId="77777777" w:rsidR="002662AF" w:rsidRPr="00B26017" w:rsidRDefault="002662AF" w:rsidP="002662AF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ru-RU"/>
        </w:rPr>
        <w:drawing>
          <wp:inline distT="0" distB="0" distL="0" distR="0" wp14:anchorId="01AC1B15" wp14:editId="4297AAE1">
            <wp:extent cx="5932805" cy="2839085"/>
            <wp:effectExtent l="19050" t="0" r="0" b="0"/>
            <wp:docPr id="2" name="Рисунок 4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36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2839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A85996D" w14:textId="77777777" w:rsidR="002662AF" w:rsidRPr="00B26017" w:rsidRDefault="002662AF" w:rsidP="002662AF">
      <w:pPr>
        <w:spacing w:after="0" w:line="240" w:lineRule="auto"/>
        <w:ind w:firstLine="709"/>
        <w:jc w:val="both"/>
        <w:rPr>
          <w:rFonts w:ascii="Times New Roman" w:hAnsi="Times New Roman"/>
        </w:rPr>
      </w:pPr>
      <w:bookmarkStart w:id="0" w:name="obr1"/>
      <w:bookmarkEnd w:id="0"/>
      <w:r>
        <w:rPr>
          <w:rFonts w:ascii="Times New Roman" w:hAnsi="Times New Roman"/>
        </w:rPr>
        <w:t xml:space="preserve"> </w:t>
      </w:r>
    </w:p>
    <w:p w14:paraId="725BF0F1" w14:textId="77777777" w:rsidR="002662AF" w:rsidRPr="00B26017" w:rsidRDefault="002662AF" w:rsidP="002662AF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ru-RU"/>
        </w:rPr>
        <w:lastRenderedPageBreak/>
        <w:drawing>
          <wp:inline distT="0" distB="0" distL="0" distR="0" wp14:anchorId="4F8340B2" wp14:editId="7955DE07">
            <wp:extent cx="5932805" cy="2317750"/>
            <wp:effectExtent l="19050" t="0" r="0" b="0"/>
            <wp:docPr id="3" name="Рисунок 4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35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231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C37419D" w14:textId="77777777" w:rsidR="002662AF" w:rsidRPr="00B26017" w:rsidRDefault="002662AF" w:rsidP="002662AF">
      <w:pPr>
        <w:spacing w:after="0" w:line="240" w:lineRule="auto"/>
        <w:ind w:firstLine="709"/>
        <w:jc w:val="both"/>
        <w:rPr>
          <w:rFonts w:ascii="Times New Roman" w:hAnsi="Times New Roman"/>
        </w:rPr>
      </w:pPr>
      <w:bookmarkStart w:id="1" w:name="obr2"/>
      <w:bookmarkEnd w:id="1"/>
      <w:r>
        <w:rPr>
          <w:rFonts w:ascii="Times New Roman" w:hAnsi="Times New Roman"/>
        </w:rPr>
        <w:t xml:space="preserve"> </w:t>
      </w:r>
    </w:p>
    <w:p w14:paraId="7EDD0BCF" w14:textId="77777777" w:rsidR="002662AF" w:rsidRPr="00B26017" w:rsidRDefault="002662AF" w:rsidP="002662AF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ru-RU"/>
        </w:rPr>
        <w:drawing>
          <wp:inline distT="0" distB="0" distL="0" distR="0" wp14:anchorId="6E33ABED" wp14:editId="4F5786D4">
            <wp:extent cx="5932805" cy="2870835"/>
            <wp:effectExtent l="19050" t="0" r="0" b="0"/>
            <wp:docPr id="4" name="Рисунок 4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34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2870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11AF3FF" w14:textId="77777777" w:rsidR="002662AF" w:rsidRPr="00B26017" w:rsidRDefault="002662AF" w:rsidP="002662AF">
      <w:pPr>
        <w:spacing w:after="0" w:line="240" w:lineRule="auto"/>
        <w:ind w:firstLine="709"/>
        <w:jc w:val="both"/>
        <w:rPr>
          <w:rFonts w:ascii="Times New Roman" w:hAnsi="Times New Roman"/>
        </w:rPr>
      </w:pPr>
      <w:bookmarkStart w:id="2" w:name="obr3"/>
      <w:bookmarkEnd w:id="2"/>
      <w:r>
        <w:rPr>
          <w:rFonts w:ascii="Times New Roman" w:hAnsi="Times New Roman"/>
        </w:rPr>
        <w:t xml:space="preserve"> </w:t>
      </w:r>
    </w:p>
    <w:p w14:paraId="020F316B" w14:textId="77777777" w:rsidR="002662AF" w:rsidRPr="00B26017" w:rsidRDefault="002662AF" w:rsidP="002662AF">
      <w:pPr>
        <w:spacing w:after="0" w:line="240" w:lineRule="auto"/>
        <w:ind w:firstLine="709"/>
        <w:jc w:val="both"/>
        <w:rPr>
          <w:rFonts w:ascii="Times New Roman" w:hAnsi="Times New Roman"/>
          <w:b/>
          <w:bCs/>
        </w:rPr>
      </w:pPr>
      <w:r w:rsidRPr="00B26017">
        <w:rPr>
          <w:rFonts w:ascii="Times New Roman" w:hAnsi="Times New Roman"/>
          <w:b/>
          <w:bCs/>
        </w:rPr>
        <w:t>Что с налоговым учетом расходов на нерегулярные премии</w:t>
      </w:r>
    </w:p>
    <w:p w14:paraId="1BE776B2" w14:textId="77777777" w:rsidR="002662AF" w:rsidRPr="00B26017" w:rsidRDefault="002662AF" w:rsidP="002662A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B26017">
        <w:rPr>
          <w:rFonts w:ascii="Times New Roman" w:hAnsi="Times New Roman"/>
        </w:rPr>
        <w:t>Считается, что поощрения по </w:t>
      </w:r>
      <w:hyperlink r:id="rId24" w:anchor="ZA020B83ER" w:tgtFrame="_blank" w:history="1">
        <w:r w:rsidRPr="00B26017">
          <w:rPr>
            <w:rStyle w:val="a3"/>
            <w:rFonts w:ascii="Times New Roman" w:hAnsi="Times New Roman"/>
          </w:rPr>
          <w:t>статье 191</w:t>
        </w:r>
      </w:hyperlink>
      <w:r w:rsidRPr="00B26017">
        <w:rPr>
          <w:rFonts w:ascii="Times New Roman" w:hAnsi="Times New Roman"/>
        </w:rPr>
        <w:t> ТК безопаснее платить за счет чистой прибыли и не учитывать в расходах. С одной стороны, есть </w:t>
      </w:r>
      <w:hyperlink r:id="rId25" w:anchor="ZAP237G3GQ" w:tgtFrame="_blank" w:history="1">
        <w:r w:rsidRPr="00B26017">
          <w:rPr>
            <w:rStyle w:val="a3"/>
            <w:rFonts w:ascii="Times New Roman" w:hAnsi="Times New Roman"/>
          </w:rPr>
          <w:t>пункт 2</w:t>
        </w:r>
      </w:hyperlink>
      <w:r w:rsidRPr="00B26017">
        <w:rPr>
          <w:rFonts w:ascii="Times New Roman" w:hAnsi="Times New Roman"/>
        </w:rPr>
        <w:t> статьи 255 НК, в котором сказано, что в расходы на оплату труда можно списать начисления стимулирующего характера, в том числе премии за производственные результаты, надбавки за профессиональное мастерство, высокие достижения в труде и иные подобные показатели. С другой — есть </w:t>
      </w:r>
      <w:hyperlink r:id="rId26" w:anchor="ZAP27RO3DO" w:tgtFrame="_blank" w:history="1">
        <w:r w:rsidRPr="00B26017">
          <w:rPr>
            <w:rStyle w:val="a3"/>
            <w:rFonts w:ascii="Times New Roman" w:hAnsi="Times New Roman"/>
          </w:rPr>
          <w:t>пункт 21</w:t>
        </w:r>
      </w:hyperlink>
      <w:r w:rsidRPr="00B26017">
        <w:rPr>
          <w:rFonts w:ascii="Times New Roman" w:hAnsi="Times New Roman"/>
        </w:rPr>
        <w:t> статьи 270 НК. Из него следует, что при расчете налога на прибыль не учитывают вознаграждения руководству или работникам, кроме выплат на основании трудовых договоров (</w:t>
      </w:r>
      <w:hyperlink r:id="rId27" w:tgtFrame="_blank" w:history="1">
        <w:r w:rsidRPr="00B26017">
          <w:rPr>
            <w:rStyle w:val="a3"/>
            <w:rFonts w:ascii="Times New Roman" w:hAnsi="Times New Roman"/>
          </w:rPr>
          <w:t>письмо Минфина от 20.02.2021 № 03-03-06/1/12061</w:t>
        </w:r>
      </w:hyperlink>
      <w:r w:rsidRPr="00B26017">
        <w:rPr>
          <w:rFonts w:ascii="Times New Roman" w:hAnsi="Times New Roman"/>
        </w:rPr>
        <w:t>).</w:t>
      </w:r>
    </w:p>
    <w:p w14:paraId="19C138B5" w14:textId="77777777" w:rsidR="002662AF" w:rsidRPr="00B26017" w:rsidRDefault="002662AF" w:rsidP="002662A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B26017">
        <w:rPr>
          <w:rFonts w:ascii="Times New Roman" w:hAnsi="Times New Roman"/>
        </w:rPr>
        <w:t>Зачастую компании стараются списать в расходы и премии, выплаченные по </w:t>
      </w:r>
      <w:hyperlink r:id="rId28" w:anchor="ZA020B83ER" w:tgtFrame="_blank" w:history="1">
        <w:r w:rsidRPr="00B26017">
          <w:rPr>
            <w:rStyle w:val="a3"/>
            <w:rFonts w:ascii="Times New Roman" w:hAnsi="Times New Roman"/>
          </w:rPr>
          <w:t>статье 191</w:t>
        </w:r>
      </w:hyperlink>
      <w:r w:rsidRPr="00B26017">
        <w:rPr>
          <w:rFonts w:ascii="Times New Roman" w:hAnsi="Times New Roman"/>
        </w:rPr>
        <w:t> ТК. В моменте к учету таких затрат проверяющие могут и не придраться, но на выездной или даже углубленной камеральной проверке риск возрастает. Так полагают практики.</w:t>
      </w:r>
    </w:p>
    <w:p w14:paraId="24A93F20" w14:textId="77777777" w:rsidR="002662AF" w:rsidRPr="00B26017" w:rsidRDefault="002662AF" w:rsidP="002662A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B26017">
        <w:rPr>
          <w:rFonts w:ascii="Times New Roman" w:hAnsi="Times New Roman"/>
        </w:rPr>
        <w:t>Мы уточнили в ФНС, рискованно ли сейчас учитывать в расходах премии за труд, выплаченные по </w:t>
      </w:r>
      <w:hyperlink r:id="rId29" w:anchor="ZA020B83ER" w:tgtFrame="_blank" w:history="1">
        <w:r w:rsidRPr="00B26017">
          <w:rPr>
            <w:rStyle w:val="a3"/>
            <w:rFonts w:ascii="Times New Roman" w:hAnsi="Times New Roman"/>
          </w:rPr>
          <w:t>статье 191</w:t>
        </w:r>
      </w:hyperlink>
      <w:r w:rsidRPr="00B26017">
        <w:rPr>
          <w:rFonts w:ascii="Times New Roman" w:hAnsi="Times New Roman"/>
        </w:rPr>
        <w:t> ТК. Например, за высокие трудовые достижения. Получился парадокс: налоговики в отличие от практиков считают, что риски невысокие, были бы подтверждающие документы. В частности, служебка или представление от руководителя сотрудника, которого премируют, приказ, локальный акт, в котором будет сказано о премировании, например, как на </w:t>
      </w:r>
      <w:hyperlink r:id="rId30" w:anchor="obr1" w:history="1">
        <w:r w:rsidRPr="00B26017">
          <w:rPr>
            <w:rStyle w:val="a3"/>
            <w:rFonts w:ascii="Times New Roman" w:hAnsi="Times New Roman"/>
          </w:rPr>
          <w:t>образце 1</w:t>
        </w:r>
      </w:hyperlink>
      <w:r w:rsidRPr="00B26017">
        <w:rPr>
          <w:rFonts w:ascii="Times New Roman" w:hAnsi="Times New Roman"/>
        </w:rPr>
        <w:t>.</w:t>
      </w:r>
    </w:p>
    <w:tbl>
      <w:tblPr>
        <w:tblW w:w="117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75"/>
      </w:tblGrid>
      <w:tr w:rsidR="002662AF" w:rsidRPr="00A811B3" w14:paraId="499DDF2B" w14:textId="77777777" w:rsidTr="00145004">
        <w:tc>
          <w:tcPr>
            <w:tcW w:w="0" w:type="auto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14:paraId="0BE775C6" w14:textId="77777777" w:rsidR="002662AF" w:rsidRPr="00A811B3" w:rsidRDefault="002662AF" w:rsidP="0014500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lang w:eastAsia="ru-RU"/>
              </w:rPr>
              <w:lastRenderedPageBreak/>
              <w:drawing>
                <wp:inline distT="0" distB="0" distL="0" distR="0" wp14:anchorId="6BDC43DC" wp14:editId="7C244EBF">
                  <wp:extent cx="5943600" cy="3944620"/>
                  <wp:effectExtent l="19050" t="0" r="0" b="0"/>
                  <wp:docPr id="5" name="Рисунок 4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3600" cy="3944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8875996" w14:textId="77777777" w:rsidR="002662AF" w:rsidRPr="00B26017" w:rsidRDefault="002662AF" w:rsidP="002662A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B26017">
        <w:rPr>
          <w:rFonts w:ascii="Times New Roman" w:hAnsi="Times New Roman"/>
        </w:rPr>
        <w:t>Каждую ситуацию инспекторы разбирают индивидуально. Когда премирование было явно не в тему, в учете расходов могут и отказать.</w:t>
      </w:r>
    </w:p>
    <w:tbl>
      <w:tblPr>
        <w:tblW w:w="117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75"/>
      </w:tblGrid>
      <w:tr w:rsidR="002662AF" w:rsidRPr="00A811B3" w14:paraId="7CDF4259" w14:textId="77777777" w:rsidTr="00145004">
        <w:tc>
          <w:tcPr>
            <w:tcW w:w="0" w:type="auto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14:paraId="0B84B34D" w14:textId="77777777" w:rsidR="002662AF" w:rsidRPr="00A811B3" w:rsidRDefault="002662AF" w:rsidP="0014500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lang w:eastAsia="ru-RU"/>
              </w:rPr>
              <w:drawing>
                <wp:inline distT="0" distB="0" distL="0" distR="0" wp14:anchorId="17EDF119" wp14:editId="1E46FB5D">
                  <wp:extent cx="5943600" cy="2594610"/>
                  <wp:effectExtent l="19050" t="0" r="0" b="0"/>
                  <wp:docPr id="6" name="Рисунок 4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3600" cy="25946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C014513" w14:textId="77777777" w:rsidR="002662AF" w:rsidRPr="00B26017" w:rsidRDefault="002662AF" w:rsidP="002662A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B26017">
        <w:rPr>
          <w:rFonts w:ascii="Times New Roman" w:hAnsi="Times New Roman"/>
        </w:rPr>
        <w:t>Шпаргалка</w:t>
      </w:r>
    </w:p>
    <w:p w14:paraId="77C39D60" w14:textId="77777777" w:rsidR="002662AF" w:rsidRPr="00B26017" w:rsidRDefault="002662AF" w:rsidP="002662AF">
      <w:pPr>
        <w:spacing w:after="0" w:line="240" w:lineRule="auto"/>
        <w:ind w:firstLine="709"/>
        <w:jc w:val="both"/>
        <w:rPr>
          <w:rFonts w:ascii="Times New Roman" w:hAnsi="Times New Roman"/>
          <w:b/>
          <w:bCs/>
        </w:rPr>
      </w:pPr>
      <w:r w:rsidRPr="00B26017">
        <w:rPr>
          <w:rFonts w:ascii="Times New Roman" w:hAnsi="Times New Roman"/>
          <w:b/>
          <w:bCs/>
        </w:rPr>
        <w:t>Как объяснить сотрудникам разницу между премиями — ваши готовые фразы</w:t>
      </w:r>
    </w:p>
    <w:p w14:paraId="267963E9" w14:textId="77777777" w:rsidR="002662AF" w:rsidRPr="00B26017" w:rsidRDefault="002662AF" w:rsidP="002662A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B26017">
        <w:rPr>
          <w:rFonts w:ascii="Times New Roman" w:hAnsi="Times New Roman"/>
          <w:b/>
          <w:bCs/>
        </w:rPr>
        <w:t>Премия по </w:t>
      </w:r>
      <w:hyperlink r:id="rId33" w:anchor="XA00MBO2NM" w:tgtFrame="_blank" w:history="1">
        <w:r w:rsidRPr="00B26017">
          <w:rPr>
            <w:rStyle w:val="a3"/>
            <w:rFonts w:ascii="Times New Roman" w:hAnsi="Times New Roman"/>
            <w:b/>
            <w:bCs/>
          </w:rPr>
          <w:t>статье 135</w:t>
        </w:r>
      </w:hyperlink>
      <w:r w:rsidRPr="00B26017">
        <w:rPr>
          <w:rFonts w:ascii="Times New Roman" w:hAnsi="Times New Roman"/>
          <w:b/>
          <w:bCs/>
        </w:rPr>
        <w:t> ТК. «Эта премия как ваш KPI. </w:t>
      </w:r>
      <w:r w:rsidRPr="00B26017">
        <w:rPr>
          <w:rFonts w:ascii="Times New Roman" w:hAnsi="Times New Roman"/>
        </w:rPr>
        <w:t>Все прозрачно: выполнил план — получил, не выполнил — не получил. Тут нет „люблю — не люблю“, только цифры и правила».</w:t>
      </w:r>
    </w:p>
    <w:p w14:paraId="19FABB30" w14:textId="77777777" w:rsidR="002662AF" w:rsidRPr="00B26017" w:rsidRDefault="002662AF" w:rsidP="002662A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B26017">
        <w:rPr>
          <w:rFonts w:ascii="Times New Roman" w:hAnsi="Times New Roman"/>
          <w:b/>
          <w:bCs/>
        </w:rPr>
        <w:t>Премия по </w:t>
      </w:r>
      <w:hyperlink r:id="rId34" w:anchor="ZA020B83ER" w:tgtFrame="_blank" w:history="1">
        <w:r w:rsidRPr="00B26017">
          <w:rPr>
            <w:rStyle w:val="a3"/>
            <w:rFonts w:ascii="Times New Roman" w:hAnsi="Times New Roman"/>
            <w:b/>
            <w:bCs/>
          </w:rPr>
          <w:t>статье 191</w:t>
        </w:r>
      </w:hyperlink>
      <w:r w:rsidRPr="00B26017">
        <w:rPr>
          <w:rFonts w:ascii="Times New Roman" w:hAnsi="Times New Roman"/>
          <w:b/>
          <w:bCs/>
        </w:rPr>
        <w:t> ТК. </w:t>
      </w:r>
      <w:r w:rsidRPr="00B26017">
        <w:rPr>
          <w:rFonts w:ascii="Times New Roman" w:hAnsi="Times New Roman"/>
        </w:rPr>
        <w:t>«А эта премия как подарок. Компания ее дает, если хочет особенно отметить чьи-то заслуги или вклад. Это не обязанность, а право организации. То есть это как грамота или благодарность — не всем и не всегда, а когда есть повод. Разовые премии — это не правило, а исключение. Их нельзя планировать, но можно заслужить».</w:t>
      </w:r>
    </w:p>
    <w:p w14:paraId="2393B638" w14:textId="40E75B32" w:rsidR="000C47A4" w:rsidRDefault="002662AF" w:rsidP="00F43C98">
      <w:pPr>
        <w:spacing w:after="0" w:line="240" w:lineRule="auto"/>
        <w:ind w:firstLine="709"/>
        <w:jc w:val="right"/>
      </w:pPr>
      <w:r>
        <w:rPr>
          <w:rFonts w:ascii="Times New Roman" w:hAnsi="Times New Roman"/>
        </w:rPr>
        <w:t xml:space="preserve">Журнал «Главбух» №19, 2025 </w:t>
      </w:r>
    </w:p>
    <w:sectPr w:rsidR="000C47A4" w:rsidSect="000C47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62AF"/>
    <w:rsid w:val="000C47A4"/>
    <w:rsid w:val="002662AF"/>
    <w:rsid w:val="00B71F9E"/>
    <w:rsid w:val="00F43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E5EC8"/>
  <w15:docId w15:val="{AF528CD3-BBBD-413A-88B0-C4B87B4EC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62AF"/>
    <w:pPr>
      <w:spacing w:after="160" w:line="278" w:lineRule="auto"/>
    </w:pPr>
    <w:rPr>
      <w:rFonts w:ascii="Calibri" w:eastAsia="Calibri" w:hAnsi="Calibri" w:cs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2662A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662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662AF"/>
    <w:rPr>
      <w:rFonts w:ascii="Tahoma" w:eastAsia="Calibri" w:hAnsi="Tahoma" w:cs="Tahoma"/>
      <w:kern w:val="2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glavbukh.ru/npd-doc?npmid=99&amp;npid=901807664&amp;anchor=XA00MBO2NM" TargetMode="External"/><Relationship Id="rId13" Type="http://schemas.openxmlformats.org/officeDocument/2006/relationships/hyperlink" Target="https://e.glavbukh.ru/npd-doc?npmid=99&amp;npid=901807664&amp;anchor=XA00MBO2NM" TargetMode="External"/><Relationship Id="rId18" Type="http://schemas.openxmlformats.org/officeDocument/2006/relationships/hyperlink" Target="https://e.glavbukh.ru/1155320" TargetMode="External"/><Relationship Id="rId26" Type="http://schemas.openxmlformats.org/officeDocument/2006/relationships/hyperlink" Target="https://e.glavbukh.ru/npd-doc?npmid=99&amp;npid=901765862&amp;anchor=ZAP27RO3DO" TargetMode="External"/><Relationship Id="rId3" Type="http://schemas.openxmlformats.org/officeDocument/2006/relationships/webSettings" Target="webSettings.xml"/><Relationship Id="rId21" Type="http://schemas.openxmlformats.org/officeDocument/2006/relationships/image" Target="media/image2.png"/><Relationship Id="rId34" Type="http://schemas.openxmlformats.org/officeDocument/2006/relationships/hyperlink" Target="https://e.glavbukh.ru/npd-doc?npmid=99&amp;npid=901807664&amp;anchor=ZA020B83ER" TargetMode="External"/><Relationship Id="rId7" Type="http://schemas.openxmlformats.org/officeDocument/2006/relationships/hyperlink" Target="https://e.glavbukh.ru/npd-doc?npmid=99&amp;npid=901807664&amp;anchor=ZA020B83ER" TargetMode="External"/><Relationship Id="rId12" Type="http://schemas.openxmlformats.org/officeDocument/2006/relationships/hyperlink" Target="https://e.glavbukh.ru/npd-doc?npmid=99&amp;npid=901807664&amp;anchor=ZA020B83ER" TargetMode="External"/><Relationship Id="rId17" Type="http://schemas.openxmlformats.org/officeDocument/2006/relationships/image" Target="media/image1.png"/><Relationship Id="rId25" Type="http://schemas.openxmlformats.org/officeDocument/2006/relationships/hyperlink" Target="https://e.glavbukh.ru/npd-doc?npmid=99&amp;npid=901765862&amp;anchor=ZAP237G3GQ" TargetMode="External"/><Relationship Id="rId33" Type="http://schemas.openxmlformats.org/officeDocument/2006/relationships/hyperlink" Target="https://e.glavbukh.ru/npd-doc?npmid=99&amp;npid=901807664&amp;anchor=XA00MBO2NM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e.glavbukh.ru/npd-doc?npmid=99&amp;npid=901807664&amp;anchor=ZA020B83ER" TargetMode="External"/><Relationship Id="rId20" Type="http://schemas.openxmlformats.org/officeDocument/2006/relationships/hyperlink" Target="https://e.glavbukh.ru/1155320" TargetMode="External"/><Relationship Id="rId29" Type="http://schemas.openxmlformats.org/officeDocument/2006/relationships/hyperlink" Target="https://e.glavbukh.ru/npd-doc?npmid=99&amp;npid=901807664&amp;anchor=ZA020B83ER" TargetMode="External"/><Relationship Id="rId1" Type="http://schemas.openxmlformats.org/officeDocument/2006/relationships/styles" Target="styles.xml"/><Relationship Id="rId6" Type="http://schemas.openxmlformats.org/officeDocument/2006/relationships/hyperlink" Target="https://e.glavbukh.ru/npd-doc?npmid=99&amp;npid=901807664&amp;anchor=XA00MBO2NM" TargetMode="External"/><Relationship Id="rId11" Type="http://schemas.openxmlformats.org/officeDocument/2006/relationships/hyperlink" Target="https://e.glavbukh.ru/npd-doc?npmid=99&amp;npid=901807664&amp;anchor=XA00MBO2NM" TargetMode="External"/><Relationship Id="rId24" Type="http://schemas.openxmlformats.org/officeDocument/2006/relationships/hyperlink" Target="https://e.glavbukh.ru/npd-doc?npmid=99&amp;npid=901807664&amp;anchor=ZA020B83ER" TargetMode="External"/><Relationship Id="rId32" Type="http://schemas.openxmlformats.org/officeDocument/2006/relationships/image" Target="media/image6.png"/><Relationship Id="rId5" Type="http://schemas.openxmlformats.org/officeDocument/2006/relationships/hyperlink" Target="https://e.glavbukh.ru/npd-doc?npmid=99&amp;npid=901807664&amp;anchor=ZA020B83ER" TargetMode="External"/><Relationship Id="rId15" Type="http://schemas.openxmlformats.org/officeDocument/2006/relationships/hyperlink" Target="https://e.glavbukh.ru/npd-doc?npmid=99&amp;npid=901807664" TargetMode="External"/><Relationship Id="rId23" Type="http://schemas.openxmlformats.org/officeDocument/2006/relationships/image" Target="media/image4.png"/><Relationship Id="rId28" Type="http://schemas.openxmlformats.org/officeDocument/2006/relationships/hyperlink" Target="https://e.glavbukh.ru/npd-doc?npmid=99&amp;npid=901807664&amp;anchor=ZA020B83ER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e.glavbukh.ru/npd-doc?npmid=99&amp;npid=901807664&amp;anchor=ZA020B83ER" TargetMode="External"/><Relationship Id="rId19" Type="http://schemas.openxmlformats.org/officeDocument/2006/relationships/hyperlink" Target="https://e.glavbukh.ru/npd-doc?npmid=99&amp;npid=901807664&amp;anchor=ZA020B83ER" TargetMode="External"/><Relationship Id="rId31" Type="http://schemas.openxmlformats.org/officeDocument/2006/relationships/image" Target="media/image5.png"/><Relationship Id="rId4" Type="http://schemas.openxmlformats.org/officeDocument/2006/relationships/hyperlink" Target="https://e.glavbukh.ru/npd-doc?npmid=99&amp;npid=901807664&amp;anchor=XA00MBO2NM" TargetMode="External"/><Relationship Id="rId9" Type="http://schemas.openxmlformats.org/officeDocument/2006/relationships/hyperlink" Target="https://e.glavbukh.ru/1150022" TargetMode="External"/><Relationship Id="rId14" Type="http://schemas.openxmlformats.org/officeDocument/2006/relationships/hyperlink" Target="https://e.glavbukh.ru/npd-doc?npmid=99&amp;npid=901807664&amp;anchor=ZA020B83ER" TargetMode="External"/><Relationship Id="rId22" Type="http://schemas.openxmlformats.org/officeDocument/2006/relationships/image" Target="media/image3.png"/><Relationship Id="rId27" Type="http://schemas.openxmlformats.org/officeDocument/2006/relationships/hyperlink" Target="https://e.glavbukh.ru/npd-doc?npmid=99&amp;npid=603108179" TargetMode="External"/><Relationship Id="rId30" Type="http://schemas.openxmlformats.org/officeDocument/2006/relationships/hyperlink" Target="https://e.glavbukh.ru/1155320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1223</Words>
  <Characters>6977</Characters>
  <Application>Microsoft Office Word</Application>
  <DocSecurity>0</DocSecurity>
  <Lines>58</Lines>
  <Paragraphs>16</Paragraphs>
  <ScaleCrop>false</ScaleCrop>
  <Company>Grizli777</Company>
  <LinksUpToDate>false</LinksUpToDate>
  <CharactersWithSpaces>8184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Pozdnyakova</dc:creator>
  <cp:lastModifiedBy>Екатерина Хомякова</cp:lastModifiedBy>
  <cp:revision>2</cp:revision>
  <dcterms:created xsi:type="dcterms:W3CDTF">2025-10-13T13:14:00Z</dcterms:created>
  <dcterms:modified xsi:type="dcterms:W3CDTF">2025-10-30T07:08:00Z</dcterms:modified>
</cp:coreProperties>
</file>